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40"/>
        <w:jc w:val="right"/>
      </w:pPr>
      <w:r>
        <w:rPr>
          <w:rFonts w:ascii="Times New Roman" w:eastAsia="Times New Roman" w:hAnsi="Times New Roman" w:cs="Times New Roman"/>
        </w:rPr>
        <w:t>Дело № 5-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-21</w:t>
      </w:r>
      <w:r>
        <w:rPr>
          <w:rFonts w:ascii="Times New Roman" w:eastAsia="Times New Roman" w:hAnsi="Times New Roman" w:cs="Times New Roman"/>
        </w:rPr>
        <w:t>03</w:t>
      </w:r>
      <w:r>
        <w:rPr>
          <w:rFonts w:ascii="Times New Roman" w:eastAsia="Times New Roman" w:hAnsi="Times New Roman" w:cs="Times New Roman"/>
        </w:rPr>
        <w:t>/202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tabs>
          <w:tab w:val="center" w:pos="8004"/>
        </w:tabs>
        <w:spacing w:before="0" w:after="0"/>
        <w:ind w:left="5664"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ahoma" w:eastAsia="Tahoma" w:hAnsi="Tahoma" w:cs="Tahoma"/>
          <w:b/>
          <w:bCs/>
          <w:sz w:val="20"/>
          <w:szCs w:val="20"/>
        </w:rPr>
        <w:t>86MS0043-01-2024-000243-90</w:t>
      </w:r>
    </w:p>
    <w:p>
      <w:pPr>
        <w:spacing w:before="0" w:after="0"/>
        <w:ind w:left="5664" w:firstLine="708"/>
        <w:rPr>
          <w:sz w:val="27"/>
          <w:szCs w:val="27"/>
        </w:rPr>
      </w:pPr>
    </w:p>
    <w:p>
      <w:pPr>
        <w:spacing w:before="0" w:after="0"/>
        <w:ind w:firstLine="539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firstLine="539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 административном правонарушении</w:t>
      </w:r>
    </w:p>
    <w:p>
      <w:pPr>
        <w:spacing w:before="0" w:after="0"/>
        <w:ind w:firstLine="539"/>
        <w:jc w:val="center"/>
        <w:rPr>
          <w:sz w:val="28"/>
          <w:szCs w:val="28"/>
        </w:rPr>
      </w:pPr>
    </w:p>
    <w:p>
      <w:pPr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 Нижневартовск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14 февраля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2024 </w:t>
      </w:r>
      <w:r>
        <w:rPr>
          <w:rFonts w:ascii="Times New Roman" w:eastAsia="Times New Roman" w:hAnsi="Times New Roman" w:cs="Times New Roman"/>
          <w:sz w:val="28"/>
          <w:szCs w:val="28"/>
        </w:rPr>
        <w:t>года</w:t>
      </w:r>
    </w:p>
    <w:p>
      <w:pPr>
        <w:spacing w:before="0" w:after="0"/>
        <w:ind w:firstLine="539"/>
        <w:jc w:val="center"/>
        <w:rPr>
          <w:sz w:val="28"/>
          <w:szCs w:val="28"/>
        </w:rPr>
      </w:pPr>
    </w:p>
    <w:p>
      <w:pPr>
        <w:widowControl w:val="0"/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Нижневартовского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Нижневартовска Ханты-Мансийского автономного округа–Югры </w:t>
      </w:r>
      <w:r>
        <w:rPr>
          <w:rFonts w:ascii="Times New Roman" w:eastAsia="Times New Roman" w:hAnsi="Times New Roman" w:cs="Times New Roman"/>
          <w:sz w:val="28"/>
          <w:szCs w:val="28"/>
        </w:rPr>
        <w:t>Трифонова Л.И.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мирового судьи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>
        <w:rPr>
          <w:rFonts w:ascii="Times New Roman" w:eastAsia="Times New Roman" w:hAnsi="Times New Roman" w:cs="Times New Roman"/>
          <w:sz w:val="28"/>
          <w:szCs w:val="28"/>
        </w:rPr>
        <w:t>Нижневартовского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</w:t>
      </w:r>
      <w:r>
        <w:rPr>
          <w:rFonts w:ascii="Times New Roman" w:eastAsia="Times New Roman" w:hAnsi="Times New Roman" w:cs="Times New Roman"/>
          <w:sz w:val="28"/>
          <w:szCs w:val="28"/>
        </w:rPr>
        <w:t>Нижневартовска Ханты-Мансийского автономного округа–Югры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находящийся по адресу: </w:t>
      </w:r>
      <w:r>
        <w:rPr>
          <w:rStyle w:val="cat-UserDefinedgrp-26rplc-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 Тюменская область, г. Нижневартовск, ул. Нефтяников д.6, рассмотрев дело об административном правонарушении в отношении:</w:t>
      </w:r>
    </w:p>
    <w:p>
      <w:pPr>
        <w:widowControl w:val="0"/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Директора ООО «</w:t>
      </w:r>
      <w:r>
        <w:rPr>
          <w:rFonts w:ascii="Times New Roman" w:eastAsia="Times New Roman" w:hAnsi="Times New Roman" w:cs="Times New Roman"/>
          <w:sz w:val="28"/>
          <w:szCs w:val="28"/>
        </w:rPr>
        <w:t>Метаком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-НВ» </w:t>
      </w:r>
      <w:r>
        <w:rPr>
          <w:rFonts w:ascii="Times New Roman" w:eastAsia="Times New Roman" w:hAnsi="Times New Roman" w:cs="Times New Roman"/>
          <w:sz w:val="28"/>
          <w:szCs w:val="28"/>
        </w:rPr>
        <w:t>Саламатова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Александра Владимировича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21rplc-1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рождения, урожен</w:t>
      </w:r>
      <w:r>
        <w:rPr>
          <w:rFonts w:ascii="Times New Roman" w:eastAsia="Times New Roman" w:hAnsi="Times New Roman" w:cs="Times New Roman"/>
          <w:sz w:val="28"/>
          <w:szCs w:val="28"/>
        </w:rPr>
        <w:t>ца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23rplc-1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прожива</w:t>
      </w:r>
      <w:r>
        <w:rPr>
          <w:rFonts w:ascii="Times New Roman" w:eastAsia="Times New Roman" w:hAnsi="Times New Roman" w:cs="Times New Roman"/>
          <w:sz w:val="28"/>
          <w:szCs w:val="28"/>
        </w:rPr>
        <w:t>юще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>
        <w:rPr>
          <w:rStyle w:val="cat-UserDefinedgrp-24rplc-1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паспорт </w:t>
      </w:r>
      <w:r>
        <w:rPr>
          <w:rStyle w:val="cat-UserDefinedgrp-25rplc-19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widowControl w:val="0"/>
        <w:spacing w:before="0" w:after="0"/>
        <w:ind w:firstLine="540"/>
        <w:jc w:val="both"/>
        <w:rPr>
          <w:sz w:val="28"/>
          <w:szCs w:val="28"/>
        </w:rPr>
      </w:pPr>
    </w:p>
    <w:p>
      <w:pPr>
        <w:widowControl w:val="0"/>
        <w:spacing w:before="0" w:after="0"/>
        <w:ind w:firstLine="54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Саламатов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А.В</w:t>
      </w:r>
      <w:r>
        <w:rPr>
          <w:rFonts w:ascii="Times New Roman" w:eastAsia="Times New Roman" w:hAnsi="Times New Roman" w:cs="Times New Roman"/>
          <w:sz w:val="28"/>
          <w:szCs w:val="28"/>
        </w:rPr>
        <w:t>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являясь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иректор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ООО «</w:t>
      </w:r>
      <w:r>
        <w:rPr>
          <w:rFonts w:ascii="Times New Roman" w:eastAsia="Times New Roman" w:hAnsi="Times New Roman" w:cs="Times New Roman"/>
          <w:sz w:val="28"/>
          <w:szCs w:val="28"/>
        </w:rPr>
        <w:t>Метаком</w:t>
      </w:r>
      <w:r>
        <w:rPr>
          <w:rFonts w:ascii="Times New Roman" w:eastAsia="Times New Roman" w:hAnsi="Times New Roman" w:cs="Times New Roman"/>
          <w:sz w:val="28"/>
          <w:szCs w:val="28"/>
        </w:rPr>
        <w:t>-НВ»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расположенно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>
        <w:rPr>
          <w:rStyle w:val="cat-UserDefinedgrp-26rplc-2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24rplc-2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 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 подтверждается выпиской из ЕГРЮЛ, не представил </w:t>
      </w:r>
      <w:r>
        <w:rPr>
          <w:rFonts w:ascii="Times New Roman" w:eastAsia="Times New Roman" w:hAnsi="Times New Roman" w:cs="Times New Roman"/>
          <w:sz w:val="28"/>
          <w:szCs w:val="28"/>
        </w:rPr>
        <w:t>декларацию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расчет) по страховым взносам за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>
        <w:rPr>
          <w:rFonts w:ascii="Times New Roman" w:eastAsia="Times New Roman" w:hAnsi="Times New Roman" w:cs="Times New Roman"/>
          <w:sz w:val="28"/>
          <w:szCs w:val="28"/>
        </w:rPr>
        <w:t>месяц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года, срок предоставления не позднее </w:t>
      </w:r>
      <w:r>
        <w:rPr>
          <w:rFonts w:ascii="Times New Roman" w:eastAsia="Times New Roman" w:hAnsi="Times New Roman" w:cs="Times New Roman"/>
          <w:sz w:val="28"/>
          <w:szCs w:val="28"/>
        </w:rPr>
        <w:t>25.0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результате чего им нарушены требования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7 ст. 431 Налогового кодекса РФ.</w:t>
      </w:r>
    </w:p>
    <w:p>
      <w:pPr>
        <w:widowControl w:val="0"/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Саламатов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рассмотрение дела об административном правонарушении не явил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</w:rPr>
        <w:t>, о времени и месте рассмотрения административного материала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извещен надлежащим образом. </w:t>
      </w:r>
    </w:p>
    <w:p>
      <w:pPr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судья, исследовал следующие доказательства по делу:</w:t>
      </w:r>
    </w:p>
    <w:p>
      <w:pPr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 № </w:t>
      </w:r>
      <w:r>
        <w:rPr>
          <w:rFonts w:ascii="Times New Roman" w:eastAsia="Times New Roman" w:hAnsi="Times New Roman" w:cs="Times New Roman"/>
          <w:sz w:val="28"/>
          <w:szCs w:val="28"/>
        </w:rPr>
        <w:t>86032</w:t>
      </w:r>
      <w:r>
        <w:rPr>
          <w:rFonts w:ascii="Times New Roman" w:eastAsia="Times New Roman" w:hAnsi="Times New Roman" w:cs="Times New Roman"/>
          <w:sz w:val="28"/>
          <w:szCs w:val="28"/>
        </w:rPr>
        <w:t>401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>2279</w:t>
      </w:r>
      <w:r>
        <w:rPr>
          <w:rFonts w:ascii="Times New Roman" w:eastAsia="Times New Roman" w:hAnsi="Times New Roman" w:cs="Times New Roman"/>
          <w:sz w:val="28"/>
          <w:szCs w:val="28"/>
        </w:rPr>
        <w:t>00001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 административном правонарушении от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.01.2024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года, составлен в отсутствие лица, привлекаемого к административной ответственности; </w:t>
      </w:r>
    </w:p>
    <w:p>
      <w:pPr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копию уведомления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вызове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руководителя для составления протокола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Межрайонную ИФНС России по ХМАО – Югре № 6 по адресу: г. Нижневартовск, ул. Менделеева, д. 13,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>. № 2</w:t>
      </w:r>
      <w:r>
        <w:rPr>
          <w:rFonts w:ascii="Times New Roman" w:eastAsia="Times New Roman" w:hAnsi="Times New Roman" w:cs="Times New Roman"/>
          <w:sz w:val="28"/>
          <w:szCs w:val="28"/>
        </w:rPr>
        <w:t>05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выписку из ЕГРЮЛ;</w:t>
      </w:r>
    </w:p>
    <w:p>
      <w:pPr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списки почтовых отправлений;</w:t>
      </w:r>
    </w:p>
    <w:p>
      <w:pPr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копию декларации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widowControl w:val="0"/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п. 7 ст. 431 Налогового кодекса РФ, п</w:t>
      </w:r>
      <w:r>
        <w:rPr>
          <w:rFonts w:ascii="Times New Roman" w:eastAsia="Times New Roman" w:hAnsi="Times New Roman" w:cs="Times New Roman"/>
          <w:sz w:val="28"/>
          <w:szCs w:val="28"/>
        </w:rPr>
        <w:t>лательщики, указанные в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4" w:anchor="dst1338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1 пункта 1 статьи 419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настоящего Кодекса (за исключением физических лиц, производящих выплаты, указанные в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5" w:anchor="dst1400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3 пункта 3 статьи 422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настоящего Кодекса), представляют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6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расчет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организации, которым организацией открыты счета в банках и которые начисляют и производят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 исследованные доказательства в их совокупности, мировой судья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приходит к выводу, что </w:t>
      </w:r>
      <w:r>
        <w:rPr>
          <w:rFonts w:ascii="Times New Roman" w:eastAsia="Times New Roman" w:hAnsi="Times New Roman" w:cs="Times New Roman"/>
          <w:sz w:val="28"/>
          <w:szCs w:val="28"/>
        </w:rPr>
        <w:t>Саламатов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совершил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административное правонарушение, предусмотренное ст. 15.5 Кодекса РФ об административных правонарушениях, которая предусматривает административную ответственность за нарушение установленных законодательством о налогах и сборах сроков представления налоговой декларации в налоговый орган по месту учета.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Санкция указанной нормы влечет предупреждение или наложение административного штрафа на должностных лиц в размере от трехсот до пятисот рублей.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отсутствие обстоятельств, смягчающих и отягчающих административную ответственность, предусмотренных статьями 4.2 и 4.3 Кодекса РФ об административных правонарушениях, и считает необходимым назначить административное наказание в виде предупреждения.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изложенного и руководствуясь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>. 29.9,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29.10, 32.7 Кодекса РФ об административных правонарушениях, мировой судья</w:t>
      </w: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ind w:firstLine="54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spacing w:before="0" w:after="0"/>
        <w:ind w:firstLine="540"/>
        <w:jc w:val="center"/>
        <w:rPr>
          <w:sz w:val="28"/>
          <w:szCs w:val="28"/>
        </w:rPr>
      </w:pP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Директора ООО «</w:t>
      </w:r>
      <w:r>
        <w:rPr>
          <w:rFonts w:ascii="Times New Roman" w:eastAsia="Times New Roman" w:hAnsi="Times New Roman" w:cs="Times New Roman"/>
          <w:sz w:val="28"/>
          <w:szCs w:val="28"/>
        </w:rPr>
        <w:t>Метаком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-НВ» </w:t>
      </w:r>
      <w:r>
        <w:rPr>
          <w:rFonts w:ascii="Times New Roman" w:eastAsia="Times New Roman" w:hAnsi="Times New Roman" w:cs="Times New Roman"/>
          <w:sz w:val="28"/>
          <w:szCs w:val="28"/>
        </w:rPr>
        <w:t>Саламатова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Александра Владимировича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ст. 15.5 Кодекса Российской Федерации об административных правонарушениях и назначить административное наказание в виде предупреждения.</w:t>
      </w:r>
    </w:p>
    <w:p>
      <w:pPr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Нижневартовский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городской суд в течение 10 суток, через мирового судью, вынесшего постановление.</w:t>
      </w:r>
    </w:p>
    <w:p>
      <w:pPr>
        <w:widowControl w:val="0"/>
        <w:spacing w:before="0" w:after="0"/>
        <w:ind w:firstLine="539"/>
        <w:jc w:val="both"/>
        <w:rPr>
          <w:sz w:val="28"/>
          <w:szCs w:val="28"/>
        </w:rPr>
      </w:pPr>
    </w:p>
    <w:p>
      <w:pPr>
        <w:spacing w:before="0" w:after="0"/>
        <w:ind w:firstLine="539"/>
        <w:rPr>
          <w:sz w:val="28"/>
          <w:szCs w:val="28"/>
        </w:rPr>
      </w:pPr>
      <w:r>
        <w:rPr>
          <w:rStyle w:val="cat-UserDefinedgrp-27rplc-36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ind w:firstLine="539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spacing w:before="0" w:after="0"/>
        <w:ind w:firstLine="539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</w:p>
    <w:p>
      <w:pPr>
        <w:spacing w:before="0" w:after="0"/>
        <w:ind w:firstLine="539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Л.И. Трифонова</w:t>
      </w:r>
    </w:p>
    <w:p>
      <w:pPr>
        <w:spacing w:before="0" w:after="0"/>
        <w:ind w:firstLine="539"/>
        <w:rPr>
          <w:sz w:val="28"/>
          <w:szCs w:val="28"/>
        </w:rPr>
      </w:pPr>
    </w:p>
    <w:p>
      <w:pPr>
        <w:spacing w:before="0" w:after="0"/>
        <w:ind w:firstLine="540"/>
        <w:jc w:val="both"/>
        <w:rPr>
          <w:sz w:val="28"/>
          <w:szCs w:val="28"/>
        </w:rPr>
      </w:pPr>
    </w:p>
    <w:sectPr>
      <w:headerReference w:type="default" r:id="rId7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</w:pPr>
    <w:r>
      <w:fldChar w:fldCharType="begin"/>
    </w:r>
    <w:r>
      <w:instrText xml:space="preserve">PAGE 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6rplc-7">
    <w:name w:val="cat-UserDefined grp-26 rplc-7"/>
    <w:basedOn w:val="DefaultParagraphFont"/>
  </w:style>
  <w:style w:type="character" w:customStyle="1" w:styleId="cat-UserDefinedgrp-21rplc-11">
    <w:name w:val="cat-UserDefined grp-21 rplc-11"/>
    <w:basedOn w:val="DefaultParagraphFont"/>
  </w:style>
  <w:style w:type="character" w:customStyle="1" w:styleId="cat-UserDefinedgrp-23rplc-14">
    <w:name w:val="cat-UserDefined grp-23 rplc-14"/>
    <w:basedOn w:val="DefaultParagraphFont"/>
  </w:style>
  <w:style w:type="character" w:customStyle="1" w:styleId="cat-UserDefinedgrp-24rplc-16">
    <w:name w:val="cat-UserDefined grp-24 rplc-16"/>
    <w:basedOn w:val="DefaultParagraphFont"/>
  </w:style>
  <w:style w:type="character" w:customStyle="1" w:styleId="cat-UserDefinedgrp-25rplc-19">
    <w:name w:val="cat-UserDefined grp-25 rplc-19"/>
    <w:basedOn w:val="DefaultParagraphFont"/>
  </w:style>
  <w:style w:type="character" w:customStyle="1" w:styleId="cat-UserDefinedgrp-26rplc-23">
    <w:name w:val="cat-UserDefined grp-26 rplc-23"/>
    <w:basedOn w:val="DefaultParagraphFont"/>
  </w:style>
  <w:style w:type="character" w:customStyle="1" w:styleId="cat-UserDefinedgrp-24rplc-25">
    <w:name w:val="cat-UserDefined grp-24 rplc-25"/>
    <w:basedOn w:val="DefaultParagraphFont"/>
  </w:style>
  <w:style w:type="character" w:customStyle="1" w:styleId="cat-UserDefinedgrp-27rplc-36">
    <w:name w:val="cat-UserDefined grp-27 rplc-3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document/cons_doc_LAW_412738/f4ff102a9228a8dad12c831ba03c457000a62d3c/" TargetMode="External" /><Relationship Id="rId5" Type="http://schemas.openxmlformats.org/officeDocument/2006/relationships/hyperlink" Target="http://www.consultant.ru/document/cons_doc_LAW_412738/30e4690deae106140c96017db18054a3175e14f6/" TargetMode="External" /><Relationship Id="rId6" Type="http://schemas.openxmlformats.org/officeDocument/2006/relationships/hyperlink" Target="http://www.consultant.ru/document/cons_doc_LAW_28165/e0b0bacc43879936cfcee26e50294e81d05b5cb1/" TargetMode="External" /><Relationship Id="rId7" Type="http://schemas.openxmlformats.org/officeDocument/2006/relationships/header" Target="header1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